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ED680" w14:textId="77777777" w:rsidR="003D3AAF" w:rsidRDefault="003D3AAF">
      <w:pPr>
        <w:pStyle w:val="SingleSpacing"/>
        <w:rPr>
          <w:b/>
          <w:sz w:val="28"/>
        </w:rPr>
      </w:pPr>
      <w:bookmarkStart w:id="0" w:name="_GoBack"/>
      <w:bookmarkEnd w:id="0"/>
    </w:p>
    <w:p w14:paraId="3467ABAA" w14:textId="77777777" w:rsidR="003D3AAF" w:rsidRDefault="003D3AAF">
      <w:pPr>
        <w:pStyle w:val="SingleSpacing"/>
        <w:rPr>
          <w:b/>
          <w:sz w:val="28"/>
        </w:rPr>
      </w:pPr>
    </w:p>
    <w:p w14:paraId="08317752" w14:textId="77777777" w:rsidR="006015B1" w:rsidRDefault="006015B1">
      <w:pPr>
        <w:pStyle w:val="SingleSpacing"/>
        <w:rPr>
          <w:b/>
          <w:sz w:val="28"/>
        </w:rPr>
      </w:pPr>
    </w:p>
    <w:p w14:paraId="6CBB411B" w14:textId="77777777" w:rsidR="006015B1" w:rsidRDefault="006015B1">
      <w:pPr>
        <w:pStyle w:val="SingleSpacing"/>
        <w:rPr>
          <w:b/>
          <w:sz w:val="28"/>
        </w:rPr>
      </w:pPr>
    </w:p>
    <w:p w14:paraId="66BD8B1D" w14:textId="77777777" w:rsidR="003D3AAF" w:rsidRDefault="003D3AAF">
      <w:pPr>
        <w:pStyle w:val="SingleSpacing"/>
        <w:rPr>
          <w:b/>
          <w:sz w:val="28"/>
        </w:rPr>
      </w:pPr>
    </w:p>
    <w:p w14:paraId="108EBD5E" w14:textId="77777777" w:rsidR="003D3AAF" w:rsidRDefault="003D3AAF">
      <w:pPr>
        <w:pStyle w:val="SingleSpacing"/>
        <w:rPr>
          <w:b/>
          <w:sz w:val="28"/>
        </w:rPr>
      </w:pPr>
    </w:p>
    <w:p w14:paraId="4F036CDB" w14:textId="77777777" w:rsidR="003D3AAF" w:rsidRDefault="003D3AAF">
      <w:pPr>
        <w:pStyle w:val="SingleSpacing"/>
        <w:rPr>
          <w:b/>
          <w:sz w:val="28"/>
        </w:rPr>
      </w:pPr>
    </w:p>
    <w:p w14:paraId="5173DFC1" w14:textId="77777777" w:rsidR="003D3AAF" w:rsidRDefault="003D3AAF">
      <w:pPr>
        <w:pStyle w:val="SingleSpacing"/>
        <w:rPr>
          <w:b/>
          <w:sz w:val="28"/>
        </w:rPr>
      </w:pPr>
    </w:p>
    <w:p w14:paraId="655BD2EA" w14:textId="77777777" w:rsidR="003D3AAF" w:rsidRDefault="003D3AAF">
      <w:pPr>
        <w:pStyle w:val="SingleSpacing"/>
        <w:rPr>
          <w:b/>
          <w:sz w:val="28"/>
        </w:rPr>
      </w:pPr>
    </w:p>
    <w:p w14:paraId="0EB7591E" w14:textId="77777777" w:rsidR="003D3AAF" w:rsidRDefault="003D3AAF">
      <w:pPr>
        <w:pStyle w:val="SingleSpacing"/>
        <w:rPr>
          <w:b/>
          <w:sz w:val="28"/>
        </w:rPr>
      </w:pPr>
    </w:p>
    <w:p w14:paraId="2AE27BE9" w14:textId="77777777" w:rsidR="003D3AAF" w:rsidRDefault="003D3AAF">
      <w:pPr>
        <w:pStyle w:val="SingleSpacing"/>
        <w:rPr>
          <w:b/>
          <w:sz w:val="28"/>
        </w:rPr>
      </w:pPr>
    </w:p>
    <w:p w14:paraId="4DB87355" w14:textId="77777777" w:rsidR="003D3AAF" w:rsidRDefault="003D3AAF">
      <w:pPr>
        <w:pStyle w:val="SingleSpacing"/>
        <w:rPr>
          <w:b/>
          <w:sz w:val="28"/>
        </w:rPr>
      </w:pPr>
    </w:p>
    <w:p w14:paraId="382D6DFA" w14:textId="77777777" w:rsidR="003D3AAF" w:rsidRDefault="003D3AAF">
      <w:pPr>
        <w:pStyle w:val="SingleSpacing"/>
        <w:rPr>
          <w:b/>
          <w:sz w:val="28"/>
        </w:rPr>
      </w:pPr>
    </w:p>
    <w:p w14:paraId="41E0F174" w14:textId="77777777" w:rsidR="003D3AAF" w:rsidRDefault="003D3AAF">
      <w:pPr>
        <w:pStyle w:val="SingleSpacing"/>
        <w:rPr>
          <w:b/>
          <w:sz w:val="28"/>
        </w:rPr>
      </w:pPr>
    </w:p>
    <w:p w14:paraId="6D9BBC9D" w14:textId="77777777" w:rsidR="003D3AAF" w:rsidRDefault="003D3AAF">
      <w:pPr>
        <w:pStyle w:val="SingleSpacing"/>
        <w:jc w:val="center"/>
        <w:rPr>
          <w:b/>
          <w:sz w:val="28"/>
        </w:rPr>
      </w:pPr>
      <w:r>
        <w:rPr>
          <w:b/>
          <w:sz w:val="28"/>
        </w:rPr>
        <w:t>Superior Court of the State of Washington</w:t>
      </w:r>
    </w:p>
    <w:p w14:paraId="0A9FCC33" w14:textId="77777777" w:rsidR="003D3AAF" w:rsidRDefault="003D3AAF">
      <w:pPr>
        <w:pStyle w:val="Heading1"/>
        <w:jc w:val="center"/>
        <w:rPr>
          <w:b/>
        </w:rPr>
      </w:pPr>
      <w:r>
        <w:rPr>
          <w:b/>
          <w:sz w:val="28"/>
        </w:rPr>
        <w:t xml:space="preserve">In and For </w:t>
      </w:r>
      <w:r w:rsidR="00AA2D56">
        <w:rPr>
          <w:b/>
          <w:sz w:val="28"/>
        </w:rPr>
        <w:fldChar w:fldCharType="begin">
          <w:ffData>
            <w:name w:val="Dropdown1"/>
            <w:enabled/>
            <w:calcOnExit w:val="0"/>
            <w:ddList>
              <w:listEntry w:val="Benton"/>
              <w:listEntry w:val="Franklin"/>
            </w:ddList>
          </w:ffData>
        </w:fldChar>
      </w:r>
      <w:r w:rsidR="00AA2D56">
        <w:rPr>
          <w:b/>
          <w:sz w:val="28"/>
        </w:rPr>
        <w:instrText xml:space="preserve"> FORMDROPDOWN </w:instrText>
      </w:r>
      <w:r w:rsidR="00213F35">
        <w:rPr>
          <w:b/>
          <w:sz w:val="28"/>
        </w:rPr>
      </w:r>
      <w:r w:rsidR="00213F35">
        <w:rPr>
          <w:b/>
          <w:sz w:val="28"/>
        </w:rPr>
        <w:fldChar w:fldCharType="separate"/>
      </w:r>
      <w:r w:rsidR="00AA2D56">
        <w:rPr>
          <w:b/>
          <w:sz w:val="28"/>
        </w:rPr>
        <w:fldChar w:fldCharType="end"/>
      </w:r>
      <w:r>
        <w:rPr>
          <w:b/>
          <w:sz w:val="28"/>
        </w:rPr>
        <w:t xml:space="preserve"> County</w:t>
      </w:r>
    </w:p>
    <w:tbl>
      <w:tblPr>
        <w:tblW w:w="9360" w:type="dxa"/>
        <w:tblLayout w:type="fixed"/>
        <w:tblCellMar>
          <w:left w:w="0" w:type="dxa"/>
          <w:right w:w="0" w:type="dxa"/>
        </w:tblCellMar>
        <w:tblLook w:val="0000" w:firstRow="0" w:lastRow="0" w:firstColumn="0" w:lastColumn="0" w:noHBand="0" w:noVBand="0"/>
      </w:tblPr>
      <w:tblGrid>
        <w:gridCol w:w="4680"/>
        <w:gridCol w:w="4680"/>
      </w:tblGrid>
      <w:tr w:rsidR="003D3AAF" w14:paraId="5D61A5BC" w14:textId="77777777">
        <w:tc>
          <w:tcPr>
            <w:tcW w:w="4680" w:type="dxa"/>
            <w:tcBorders>
              <w:right w:val="single" w:sz="4" w:space="0" w:color="auto"/>
            </w:tcBorders>
          </w:tcPr>
          <w:p w14:paraId="2F696911" w14:textId="77777777" w:rsidR="003976ED" w:rsidRDefault="003976ED">
            <w:bookmarkStart w:id="1" w:name="Parties"/>
            <w:bookmarkEnd w:id="1"/>
          </w:p>
          <w:p w14:paraId="79F06EEA" w14:textId="77777777" w:rsidR="003D3AAF" w:rsidRPr="003976ED" w:rsidRDefault="00AA2D56">
            <w:pPr>
              <w:rPr>
                <w:sz w:val="24"/>
                <w:szCs w:val="24"/>
              </w:rPr>
            </w:pPr>
            <w:r>
              <w:rPr>
                <w:sz w:val="24"/>
                <w:szCs w:val="24"/>
              </w:rPr>
              <w:fldChar w:fldCharType="begin">
                <w:ffData>
                  <w:name w:val="Text34"/>
                  <w:enabled/>
                  <w:calcOnExit w:val="0"/>
                  <w:textInput/>
                </w:ffData>
              </w:fldChar>
            </w:r>
            <w:bookmarkStart w:id="2" w:name="Text3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c>
          <w:tcPr>
            <w:tcW w:w="4680" w:type="dxa"/>
            <w:tcBorders>
              <w:left w:val="single" w:sz="4" w:space="0" w:color="auto"/>
            </w:tcBorders>
          </w:tcPr>
          <w:p w14:paraId="17DBFAA0" w14:textId="77777777" w:rsidR="003D3AAF" w:rsidRDefault="003D3AAF">
            <w:pPr>
              <w:pStyle w:val="SingleSpacing"/>
            </w:pPr>
            <w:bookmarkStart w:id="3" w:name="CaseNumber"/>
            <w:bookmarkEnd w:id="3"/>
            <w:r>
              <w:t xml:space="preserve">        </w:t>
            </w:r>
          </w:p>
          <w:p w14:paraId="6D2A8A17" w14:textId="77777777" w:rsidR="003D3AAF" w:rsidRDefault="003D3AAF">
            <w:pPr>
              <w:pStyle w:val="SingleSpacing"/>
              <w:rPr>
                <w:b/>
                <w:sz w:val="24"/>
              </w:rPr>
            </w:pPr>
            <w:r>
              <w:rPr>
                <w:b/>
                <w:sz w:val="24"/>
              </w:rPr>
              <w:t xml:space="preserve">Case No:  </w:t>
            </w:r>
            <w:r w:rsidR="00AA2D56">
              <w:rPr>
                <w:b/>
                <w:sz w:val="24"/>
              </w:rPr>
              <w:fldChar w:fldCharType="begin">
                <w:ffData>
                  <w:name w:val="Text35"/>
                  <w:enabled/>
                  <w:calcOnExit w:val="0"/>
                  <w:textInput/>
                </w:ffData>
              </w:fldChar>
            </w:r>
            <w:bookmarkStart w:id="4" w:name="Text35"/>
            <w:r w:rsidR="00AA2D56">
              <w:rPr>
                <w:b/>
                <w:sz w:val="24"/>
              </w:rPr>
              <w:instrText xml:space="preserve"> FORMTEXT </w:instrText>
            </w:r>
            <w:r w:rsidR="00AA2D56">
              <w:rPr>
                <w:b/>
                <w:sz w:val="24"/>
              </w:rPr>
            </w:r>
            <w:r w:rsidR="00AA2D56">
              <w:rPr>
                <w:b/>
                <w:sz w:val="24"/>
              </w:rPr>
              <w:fldChar w:fldCharType="separate"/>
            </w:r>
            <w:r w:rsidR="00AA2D56">
              <w:rPr>
                <w:b/>
                <w:noProof/>
                <w:sz w:val="24"/>
              </w:rPr>
              <w:t> </w:t>
            </w:r>
            <w:r w:rsidR="00AA2D56">
              <w:rPr>
                <w:b/>
                <w:noProof/>
                <w:sz w:val="24"/>
              </w:rPr>
              <w:t> </w:t>
            </w:r>
            <w:r w:rsidR="00AA2D56">
              <w:rPr>
                <w:b/>
                <w:noProof/>
                <w:sz w:val="24"/>
              </w:rPr>
              <w:t> </w:t>
            </w:r>
            <w:r w:rsidR="00AA2D56">
              <w:rPr>
                <w:b/>
                <w:noProof/>
                <w:sz w:val="24"/>
              </w:rPr>
              <w:t> </w:t>
            </w:r>
            <w:r w:rsidR="00AA2D56">
              <w:rPr>
                <w:b/>
                <w:noProof/>
                <w:sz w:val="24"/>
              </w:rPr>
              <w:t> </w:t>
            </w:r>
            <w:r w:rsidR="00AA2D56">
              <w:rPr>
                <w:b/>
                <w:sz w:val="24"/>
              </w:rPr>
              <w:fldChar w:fldCharType="end"/>
            </w:r>
            <w:bookmarkEnd w:id="4"/>
          </w:p>
          <w:p w14:paraId="14007684" w14:textId="77777777" w:rsidR="003D3AAF" w:rsidRDefault="003D3AAF">
            <w:pPr>
              <w:pStyle w:val="SingleSpacing"/>
              <w:rPr>
                <w:b/>
                <w:sz w:val="24"/>
              </w:rPr>
            </w:pPr>
          </w:p>
          <w:p w14:paraId="70CF57A1" w14:textId="77777777" w:rsidR="003D3AAF" w:rsidRDefault="007450AE" w:rsidP="00575B7E">
            <w:pPr>
              <w:pStyle w:val="SingleSpacing"/>
              <w:rPr>
                <w:sz w:val="24"/>
              </w:rPr>
            </w:pPr>
            <w:r>
              <w:rPr>
                <w:b/>
                <w:sz w:val="24"/>
              </w:rPr>
              <w:t>O</w:t>
            </w:r>
            <w:r w:rsidR="00575B7E">
              <w:rPr>
                <w:b/>
                <w:sz w:val="24"/>
              </w:rPr>
              <w:t xml:space="preserve">rder Accepting </w:t>
            </w:r>
            <w:r w:rsidR="00575B7E">
              <w:rPr>
                <w:b/>
                <w:i/>
                <w:sz w:val="24"/>
              </w:rPr>
              <w:t>Pro Se Waiver and</w:t>
            </w:r>
            <w:r w:rsidR="003D3AAF">
              <w:rPr>
                <w:b/>
                <w:sz w:val="24"/>
              </w:rPr>
              <w:t xml:space="preserve"> </w:t>
            </w:r>
            <w:r w:rsidR="003976ED">
              <w:rPr>
                <w:b/>
                <w:sz w:val="24"/>
              </w:rPr>
              <w:t>Appoint</w:t>
            </w:r>
            <w:r w:rsidR="00575B7E">
              <w:rPr>
                <w:b/>
                <w:sz w:val="24"/>
              </w:rPr>
              <w:t>ing</w:t>
            </w:r>
            <w:r w:rsidR="003976ED">
              <w:rPr>
                <w:b/>
                <w:sz w:val="24"/>
              </w:rPr>
              <w:t xml:space="preserve"> </w:t>
            </w:r>
            <w:r w:rsidR="00651E14">
              <w:rPr>
                <w:b/>
                <w:sz w:val="24"/>
              </w:rPr>
              <w:t xml:space="preserve">Stand-by </w:t>
            </w:r>
            <w:r w:rsidR="003976ED">
              <w:rPr>
                <w:b/>
                <w:sz w:val="24"/>
              </w:rPr>
              <w:t xml:space="preserve">Counsel </w:t>
            </w:r>
            <w:r w:rsidR="003976ED" w:rsidRPr="00651E14">
              <w:rPr>
                <w:b/>
                <w:sz w:val="24"/>
              </w:rPr>
              <w:t>at</w:t>
            </w:r>
            <w:r w:rsidR="003976ED">
              <w:rPr>
                <w:b/>
                <w:sz w:val="24"/>
              </w:rPr>
              <w:t xml:space="preserve"> Public Expense</w:t>
            </w:r>
          </w:p>
        </w:tc>
      </w:tr>
      <w:tr w:rsidR="003D3AAF" w14:paraId="18D0366E" w14:textId="77777777">
        <w:tc>
          <w:tcPr>
            <w:tcW w:w="4680" w:type="dxa"/>
            <w:tcBorders>
              <w:bottom w:val="single" w:sz="4" w:space="0" w:color="auto"/>
              <w:right w:val="single" w:sz="4" w:space="0" w:color="auto"/>
            </w:tcBorders>
          </w:tcPr>
          <w:p w14:paraId="06200D05" w14:textId="77777777" w:rsidR="003D3AAF" w:rsidRDefault="003D3AAF">
            <w:pPr>
              <w:pStyle w:val="Heading1"/>
            </w:pPr>
          </w:p>
        </w:tc>
        <w:tc>
          <w:tcPr>
            <w:tcW w:w="4680" w:type="dxa"/>
            <w:tcBorders>
              <w:left w:val="single" w:sz="4" w:space="0" w:color="auto"/>
              <w:bottom w:val="single" w:sz="4" w:space="0" w:color="auto"/>
            </w:tcBorders>
          </w:tcPr>
          <w:p w14:paraId="16A025A0" w14:textId="77777777" w:rsidR="003D3AAF" w:rsidRDefault="003D3AAF">
            <w:pPr>
              <w:pStyle w:val="SingleSpacing"/>
            </w:pPr>
          </w:p>
        </w:tc>
      </w:tr>
    </w:tbl>
    <w:p w14:paraId="06C4E27F" w14:textId="77777777" w:rsidR="00492FBB" w:rsidRDefault="00651E14" w:rsidP="00492FBB">
      <w:pPr>
        <w:pStyle w:val="Body"/>
        <w:spacing w:line="480" w:lineRule="auto"/>
      </w:pPr>
      <w:r>
        <w:tab/>
        <w:t>THIS MATTER having come before the court on:</w:t>
      </w:r>
    </w:p>
    <w:p w14:paraId="4A31CF05" w14:textId="77777777" w:rsidR="00651E14" w:rsidRDefault="00651E14" w:rsidP="00492FBB">
      <w:pPr>
        <w:pStyle w:val="Body"/>
        <w:spacing w:line="480" w:lineRule="auto"/>
      </w:pPr>
      <w:r>
        <w:tab/>
      </w:r>
      <w:r>
        <w:fldChar w:fldCharType="begin">
          <w:ffData>
            <w:name w:val="Check1"/>
            <w:enabled/>
            <w:calcOnExit w:val="0"/>
            <w:checkBox>
              <w:sizeAuto/>
              <w:default w:val="0"/>
            </w:checkBox>
          </w:ffData>
        </w:fldChar>
      </w:r>
      <w:bookmarkStart w:id="5" w:name="Check1"/>
      <w:r>
        <w:instrText xml:space="preserve"> FORMCHECKBOX </w:instrText>
      </w:r>
      <w:r w:rsidR="00213F35">
        <w:fldChar w:fldCharType="separate"/>
      </w:r>
      <w:r>
        <w:fldChar w:fldCharType="end"/>
      </w:r>
      <w:bookmarkEnd w:id="5"/>
      <w:r>
        <w:t xml:space="preserve"> Request of the Defendant</w:t>
      </w:r>
    </w:p>
    <w:p w14:paraId="73DFC516" w14:textId="77777777" w:rsidR="00651E14" w:rsidRDefault="00651E14" w:rsidP="00492FBB">
      <w:pPr>
        <w:pStyle w:val="Body"/>
        <w:spacing w:line="480" w:lineRule="auto"/>
      </w:pPr>
      <w:r>
        <w:tab/>
      </w:r>
      <w:r>
        <w:fldChar w:fldCharType="begin">
          <w:ffData>
            <w:name w:val="Check2"/>
            <w:enabled/>
            <w:calcOnExit w:val="0"/>
            <w:checkBox>
              <w:sizeAuto/>
              <w:default w:val="0"/>
            </w:checkBox>
          </w:ffData>
        </w:fldChar>
      </w:r>
      <w:bookmarkStart w:id="6" w:name="Check2"/>
      <w:r>
        <w:instrText xml:space="preserve"> FORMCHECKBOX </w:instrText>
      </w:r>
      <w:r w:rsidR="00213F35">
        <w:fldChar w:fldCharType="separate"/>
      </w:r>
      <w:r>
        <w:fldChar w:fldCharType="end"/>
      </w:r>
      <w:bookmarkEnd w:id="6"/>
      <w:r>
        <w:t xml:space="preserve"> Motion of defense counsel</w:t>
      </w:r>
    </w:p>
    <w:p w14:paraId="6A98C7C3" w14:textId="77777777" w:rsidR="00651E14" w:rsidRDefault="00651E14" w:rsidP="00492FBB">
      <w:pPr>
        <w:pStyle w:val="Body"/>
        <w:spacing w:line="480" w:lineRule="auto"/>
      </w:pPr>
      <w:r>
        <w:tab/>
      </w:r>
      <w:r>
        <w:fldChar w:fldCharType="begin">
          <w:ffData>
            <w:name w:val="Check3"/>
            <w:enabled/>
            <w:calcOnExit w:val="0"/>
            <w:checkBox>
              <w:sizeAuto/>
              <w:default w:val="0"/>
            </w:checkBox>
          </w:ffData>
        </w:fldChar>
      </w:r>
      <w:bookmarkStart w:id="7" w:name="Check3"/>
      <w:r>
        <w:instrText xml:space="preserve"> FORMCHECKBOX </w:instrText>
      </w:r>
      <w:r w:rsidR="00213F35">
        <w:fldChar w:fldCharType="separate"/>
      </w:r>
      <w:r>
        <w:fldChar w:fldCharType="end"/>
      </w:r>
      <w:bookmarkEnd w:id="7"/>
      <w:r>
        <w:t xml:space="preserve"> The Court’s own motion</w:t>
      </w:r>
    </w:p>
    <w:p w14:paraId="02347DE7" w14:textId="77777777" w:rsidR="00E33AC6" w:rsidRDefault="00651E14" w:rsidP="00492FBB">
      <w:pPr>
        <w:pStyle w:val="Body"/>
        <w:spacing w:line="480" w:lineRule="auto"/>
      </w:pPr>
      <w:r>
        <w:tab/>
      </w:r>
      <w:r w:rsidR="00E33AC6">
        <w:t>The defendant has stated his/her desire to waive 6</w:t>
      </w:r>
      <w:r w:rsidR="00E33AC6" w:rsidRPr="00E33AC6">
        <w:rPr>
          <w:vertAlign w:val="superscript"/>
        </w:rPr>
        <w:t>th</w:t>
      </w:r>
      <w:r w:rsidR="00E33AC6">
        <w:t xml:space="preserve"> Amendment right to counsel and proceed </w:t>
      </w:r>
      <w:r w:rsidR="00E33AC6">
        <w:rPr>
          <w:i/>
        </w:rPr>
        <w:t>pro se</w:t>
      </w:r>
      <w:r w:rsidR="00E33AC6">
        <w:t xml:space="preserve"> as expressly permitted by law, including</w:t>
      </w:r>
      <w:r>
        <w:t xml:space="preserve"> </w:t>
      </w:r>
      <w:r>
        <w:rPr>
          <w:i/>
        </w:rPr>
        <w:t>Faretta v. California</w:t>
      </w:r>
      <w:r>
        <w:t>, 422 US 806 (1975)</w:t>
      </w:r>
      <w:r w:rsidR="008D3CE1">
        <w:t xml:space="preserve">; </w:t>
      </w:r>
      <w:r w:rsidR="008D3CE1">
        <w:rPr>
          <w:i/>
        </w:rPr>
        <w:t>State v. Kolocotronis</w:t>
      </w:r>
      <w:r w:rsidR="008D3CE1">
        <w:t xml:space="preserve">, 73 Wash.2d 92, 436 P2d 774 (1968); and </w:t>
      </w:r>
      <w:r w:rsidR="008D3CE1">
        <w:rPr>
          <w:i/>
        </w:rPr>
        <w:t>State v. Woodall</w:t>
      </w:r>
      <w:r w:rsidR="008D3CE1">
        <w:t>, 5 Wash.App. 901, 491 P.2d 680 (1971)</w:t>
      </w:r>
      <w:r w:rsidR="00E33AC6">
        <w:t xml:space="preserve">.  </w:t>
      </w:r>
    </w:p>
    <w:p w14:paraId="32CEB646" w14:textId="77777777" w:rsidR="00E33AC6" w:rsidRDefault="00E33AC6" w:rsidP="00492FBB">
      <w:pPr>
        <w:pStyle w:val="Body"/>
        <w:spacing w:line="480" w:lineRule="auto"/>
      </w:pPr>
      <w:r>
        <w:tab/>
        <w:t>After a sufficient colloquay on the record, the Court finds defendant’s waiver to be knowing and intelligent, clear and unequivocal, and timely made.</w:t>
      </w:r>
    </w:p>
    <w:p w14:paraId="3F336D7B" w14:textId="77777777" w:rsidR="00E33AC6" w:rsidRDefault="00E33AC6" w:rsidP="00492FBB">
      <w:pPr>
        <w:pStyle w:val="Body"/>
        <w:spacing w:line="480" w:lineRule="auto"/>
      </w:pPr>
    </w:p>
    <w:p w14:paraId="32FBCE31" w14:textId="77777777" w:rsidR="00651E14" w:rsidRDefault="00651E14" w:rsidP="00492FBB">
      <w:pPr>
        <w:pStyle w:val="Body"/>
        <w:spacing w:line="480" w:lineRule="auto"/>
      </w:pPr>
      <w:r>
        <w:t xml:space="preserve"> </w:t>
      </w:r>
      <w:r w:rsidR="00E33AC6">
        <w:tab/>
        <w:t>T</w:t>
      </w:r>
      <w:r w:rsidR="00DE24D3">
        <w:t>he Court desir</w:t>
      </w:r>
      <w:r w:rsidR="00E33AC6">
        <w:t>es</w:t>
      </w:r>
      <w:r w:rsidR="00DE24D3">
        <w:t xml:space="preserve"> to appoint stand-by counsel so as to promote maximum judicial efficiency, to assist the defendant as necessary in technical aspects of self-representation, and for continuity in the event that </w:t>
      </w:r>
      <w:r w:rsidR="00DE24D3">
        <w:rPr>
          <w:i/>
        </w:rPr>
        <w:t>pro se</w:t>
      </w:r>
      <w:r w:rsidR="00DE24D3">
        <w:t xml:space="preserve"> representation is terminated for any reason and the court, in its discretion, chooses to re-appoint counsel.</w:t>
      </w:r>
    </w:p>
    <w:p w14:paraId="012204B9" w14:textId="77777777" w:rsidR="00DE24D3" w:rsidRDefault="00DE24D3" w:rsidP="00492FBB">
      <w:pPr>
        <w:pStyle w:val="Body"/>
        <w:spacing w:line="480" w:lineRule="auto"/>
      </w:pPr>
      <w:r>
        <w:t>NOW THEREFORE it is hereby ordered that:</w:t>
      </w:r>
    </w:p>
    <w:p w14:paraId="111BD54C" w14:textId="77777777" w:rsidR="00DE24D3" w:rsidRDefault="000722EE" w:rsidP="00DE24D3">
      <w:pPr>
        <w:pStyle w:val="Body"/>
        <w:numPr>
          <w:ilvl w:val="0"/>
          <w:numId w:val="5"/>
        </w:numPr>
        <w:spacing w:line="480" w:lineRule="auto"/>
      </w:pPr>
      <w:r>
        <w:t xml:space="preserve">Defendant </w:t>
      </w:r>
      <w:r>
        <w:fldChar w:fldCharType="begin">
          <w:ffData>
            <w:name w:val="Text62"/>
            <w:enabled/>
            <w:calcOnExit w:val="0"/>
            <w:textInput/>
          </w:ffData>
        </w:fldChar>
      </w:r>
      <w:bookmarkStart w:id="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’s waiver of his/her right to counsel and decision to proceed </w:t>
      </w:r>
      <w:r>
        <w:rPr>
          <w:i/>
        </w:rPr>
        <w:t>pro se</w:t>
      </w:r>
      <w:r>
        <w:t xml:space="preserve"> is hereby accepted and defendant shall</w:t>
      </w:r>
      <w:r w:rsidR="006015B1">
        <w:t xml:space="preserve"> </w:t>
      </w:r>
      <w:r>
        <w:t>no longer be entitled to court-appointed counsel any more on this matter as of right;</w:t>
      </w:r>
    </w:p>
    <w:p w14:paraId="73D27EE7" w14:textId="77777777" w:rsidR="000722EE" w:rsidRDefault="000722EE" w:rsidP="00DE24D3">
      <w:pPr>
        <w:pStyle w:val="Body"/>
        <w:numPr>
          <w:ilvl w:val="0"/>
          <w:numId w:val="5"/>
        </w:numPr>
        <w:spacing w:line="480" w:lineRule="auto"/>
      </w:pPr>
      <w:r>
        <w:t xml:space="preserve">Attorney </w:t>
      </w:r>
      <w:r>
        <w:fldChar w:fldCharType="begin">
          <w:ffData>
            <w:name w:val="Text63"/>
            <w:enabled/>
            <w:calcOnExit w:val="0"/>
            <w:textInput/>
          </w:ffData>
        </w:fldChar>
      </w:r>
      <w:bookmarkStart w:id="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WSBA #</w:t>
      </w:r>
      <w:r>
        <w:fldChar w:fldCharType="begin">
          <w:ffData>
            <w:name w:val="Text64"/>
            <w:enabled/>
            <w:calcOnExit w:val="0"/>
            <w:textInput/>
          </w:ffData>
        </w:fldChar>
      </w:r>
      <w:bookmarkStart w:id="10"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w:t>
      </w:r>
      <w:r w:rsidR="00440472">
        <w:t xml:space="preserve">(“Stand-by Counsel”) </w:t>
      </w:r>
      <w:r>
        <w:t xml:space="preserve">shall be appointed as stand-by counsel in this matter as envisioned in ABA </w:t>
      </w:r>
      <w:r w:rsidR="00440472">
        <w:rPr>
          <w:i/>
        </w:rPr>
        <w:t>Criminal Defense Standards</w:t>
      </w:r>
      <w:r w:rsidR="00440472">
        <w:t>, Standard 4-3.9(b);</w:t>
      </w:r>
    </w:p>
    <w:p w14:paraId="6D5B5565" w14:textId="77777777" w:rsidR="00440472" w:rsidRDefault="00371965" w:rsidP="00DE24D3">
      <w:pPr>
        <w:pStyle w:val="Body"/>
        <w:numPr>
          <w:ilvl w:val="0"/>
          <w:numId w:val="5"/>
        </w:numPr>
        <w:spacing w:line="480" w:lineRule="auto"/>
      </w:pPr>
      <w:r>
        <w:t xml:space="preserve">Stand-by Counsel shall be considered “standard stand-by counsel” and shall not be expected to serve in any role or capacity that is associated with “hybrid representation” as envisioned in ABA </w:t>
      </w:r>
      <w:r>
        <w:rPr>
          <w:i/>
        </w:rPr>
        <w:t xml:space="preserve">Criminal Defense Standards, </w:t>
      </w:r>
      <w:r>
        <w:t xml:space="preserve">Standard 4-3.9(a) or </w:t>
      </w:r>
      <w:r w:rsidR="001A7049">
        <w:t xml:space="preserve">case law including </w:t>
      </w:r>
      <w:r w:rsidR="001A7049">
        <w:rPr>
          <w:i/>
        </w:rPr>
        <w:t>State v. Hightower</w:t>
      </w:r>
      <w:r w:rsidR="001A7049">
        <w:t>, 676 P.2d 1016, 36 Wn.App. 536 (Wash.App. Div 1 1984);</w:t>
      </w:r>
    </w:p>
    <w:p w14:paraId="63E7F475" w14:textId="77777777" w:rsidR="001A7049" w:rsidRDefault="001A7049" w:rsidP="00DE24D3">
      <w:pPr>
        <w:pStyle w:val="Body"/>
        <w:numPr>
          <w:ilvl w:val="0"/>
          <w:numId w:val="5"/>
        </w:numPr>
        <w:spacing w:line="480" w:lineRule="auto"/>
      </w:pPr>
      <w:r>
        <w:t>Stand-By Counsel shall be expected only to assist defendant when the defendant requests assistance and may bring to the attention of the defendant matters beneficial to him or her, but shall not participate actively in the conduct of the defense</w:t>
      </w:r>
      <w:r w:rsidR="00D517D4">
        <w:t xml:space="preserve"> since over-active stand-by counsel may infringe on the defendant’s </w:t>
      </w:r>
      <w:r w:rsidR="00D517D4">
        <w:rPr>
          <w:i/>
        </w:rPr>
        <w:t>Faretta</w:t>
      </w:r>
      <w:r w:rsidR="00D517D4">
        <w:t xml:space="preserve"> rights</w:t>
      </w:r>
      <w:r>
        <w:t>;</w:t>
      </w:r>
    </w:p>
    <w:p w14:paraId="549A1494" w14:textId="77777777" w:rsidR="00966D28" w:rsidRDefault="00966D28" w:rsidP="00DE24D3">
      <w:pPr>
        <w:pStyle w:val="Body"/>
        <w:numPr>
          <w:ilvl w:val="0"/>
          <w:numId w:val="5"/>
        </w:numPr>
        <w:spacing w:line="480" w:lineRule="auto"/>
      </w:pPr>
      <w:r>
        <w:lastRenderedPageBreak/>
        <w:t xml:space="preserve">Stand-By Counsel may be directed, by further order of this Court, to take over as full-fledged appointed counsel, if defendant’s </w:t>
      </w:r>
      <w:r>
        <w:rPr>
          <w:i/>
        </w:rPr>
        <w:t xml:space="preserve">pro se </w:t>
      </w:r>
      <w:r>
        <w:t xml:space="preserve">representation is terminated for any reason, including by reason of inability of defendant to reasonably continue </w:t>
      </w:r>
      <w:r>
        <w:rPr>
          <w:i/>
        </w:rPr>
        <w:t>pro se</w:t>
      </w:r>
      <w:r>
        <w:t>, and because of disruptive behavior by defendant, and Stand-By Counsel should be prepared for this possibility;</w:t>
      </w:r>
    </w:p>
    <w:p w14:paraId="36145712" w14:textId="77777777" w:rsidR="006015B1" w:rsidRDefault="006015B1" w:rsidP="006015B1">
      <w:pPr>
        <w:pStyle w:val="Body"/>
        <w:spacing w:line="480" w:lineRule="auto"/>
      </w:pPr>
      <w:r>
        <w:t>SO ORDERED this ___ day of _______, 201</w:t>
      </w:r>
      <w:r>
        <w:fldChar w:fldCharType="begin">
          <w:ffData>
            <w:name w:val="Text65"/>
            <w:enabled/>
            <w:calcOnExit w:val="0"/>
            <w:textInput/>
          </w:ffData>
        </w:fldChar>
      </w:r>
      <w:bookmarkStart w:id="1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55D1732" w14:textId="77777777" w:rsidR="006015B1" w:rsidRDefault="006015B1" w:rsidP="006015B1">
      <w:pPr>
        <w:pStyle w:val="Body"/>
        <w:spacing w:line="480" w:lineRule="auto"/>
      </w:pPr>
    </w:p>
    <w:p w14:paraId="1F4FA1D9" w14:textId="77777777" w:rsidR="006015B1" w:rsidRDefault="006015B1" w:rsidP="006015B1">
      <w:pPr>
        <w:pStyle w:val="Body"/>
      </w:pPr>
      <w:r>
        <w:tab/>
      </w:r>
      <w:r>
        <w:tab/>
      </w:r>
      <w:r>
        <w:tab/>
      </w:r>
      <w:r>
        <w:tab/>
      </w:r>
      <w:r>
        <w:tab/>
        <w:t>____________________________</w:t>
      </w:r>
    </w:p>
    <w:p w14:paraId="4D00BCA6" w14:textId="77777777" w:rsidR="006015B1" w:rsidRPr="00DE24D3" w:rsidRDefault="006015B1" w:rsidP="006015B1">
      <w:pPr>
        <w:pStyle w:val="Body"/>
      </w:pPr>
      <w:r>
        <w:tab/>
      </w:r>
      <w:r>
        <w:tab/>
      </w:r>
      <w:r>
        <w:tab/>
      </w:r>
      <w:r>
        <w:tab/>
      </w:r>
      <w:r>
        <w:tab/>
        <w:t>Superior Court Judge</w:t>
      </w:r>
    </w:p>
    <w:p w14:paraId="30521CB3" w14:textId="77777777" w:rsidR="003D3AAF" w:rsidRPr="00D517D4" w:rsidRDefault="003D3AAF" w:rsidP="00D517D4">
      <w:pPr>
        <w:pStyle w:val="SingleSpacing"/>
        <w:rPr>
          <w:b/>
          <w:sz w:val="28"/>
        </w:rPr>
      </w:pPr>
    </w:p>
    <w:sectPr w:rsidR="003D3AAF" w:rsidRPr="00D517D4">
      <w:headerReference w:type="default" r:id="rId10"/>
      <w:footerReference w:type="even" r:id="rId11"/>
      <w:footerReference w:type="default" r:id="rId12"/>
      <w:pgSz w:w="12240" w:h="15840" w:code="1"/>
      <w:pgMar w:top="-1440" w:right="1440" w:bottom="-231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2A059" w14:textId="77777777" w:rsidR="00213F35" w:rsidRDefault="00213F35">
      <w:r>
        <w:separator/>
      </w:r>
    </w:p>
  </w:endnote>
  <w:endnote w:type="continuationSeparator" w:id="0">
    <w:p w14:paraId="49E70AEA" w14:textId="77777777" w:rsidR="00213F35" w:rsidRDefault="0021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F13D" w14:textId="77777777" w:rsidR="00287ECF" w:rsidRDefault="00287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E6975C" w14:textId="77777777" w:rsidR="00287ECF" w:rsidRDefault="00287E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EFD5" w14:textId="77777777" w:rsidR="00287ECF" w:rsidRDefault="00287ECF">
    <w:pPr>
      <w:pStyle w:val="Footer"/>
      <w:framePr w:wrap="around" w:vAnchor="text" w:hAnchor="page" w:x="6241" w:y="186"/>
      <w:rPr>
        <w:rStyle w:val="PageNumber"/>
      </w:rPr>
    </w:pPr>
    <w:r>
      <w:rPr>
        <w:rStyle w:val="PageNumber"/>
      </w:rPr>
      <w:fldChar w:fldCharType="begin"/>
    </w:r>
    <w:r>
      <w:rPr>
        <w:rStyle w:val="PageNumber"/>
      </w:rPr>
      <w:instrText xml:space="preserve">PAGE  </w:instrText>
    </w:r>
    <w:r>
      <w:rPr>
        <w:rStyle w:val="PageNumber"/>
      </w:rPr>
      <w:fldChar w:fldCharType="separate"/>
    </w:r>
    <w:r w:rsidR="00B407DD">
      <w:rPr>
        <w:rStyle w:val="PageNumber"/>
        <w:noProof/>
      </w:rPr>
      <w:t>2</w:t>
    </w:r>
    <w:r>
      <w:rPr>
        <w:rStyle w:val="PageNumber"/>
      </w:rPr>
      <w:fldChar w:fldCharType="end"/>
    </w:r>
  </w:p>
  <w:p w14:paraId="7475A40E" w14:textId="77777777" w:rsidR="00287ECF" w:rsidRDefault="00287ECF">
    <w:pPr>
      <w:pStyle w:val="SingleSpacing"/>
      <w:ind w:right="360"/>
    </w:pPr>
    <w:r>
      <w:t xml:space="preserve">Benton </w:t>
    </w:r>
    <w:r w:rsidR="00B407DD">
      <w:t>County Office</w:t>
    </w:r>
    <w:r>
      <w:t xml:space="preserve"> of Public Defense</w:t>
    </w:r>
  </w:p>
  <w:p w14:paraId="60239995" w14:textId="77777777" w:rsidR="00287ECF" w:rsidRDefault="00287ECF">
    <w:pPr>
      <w:pStyle w:val="SingleSpacing"/>
    </w:pPr>
    <w:r>
      <w:t>7122 West Okanogan Place, Building A</w:t>
    </w:r>
  </w:p>
  <w:p w14:paraId="50C7C391" w14:textId="77777777" w:rsidR="00287ECF" w:rsidRDefault="00287ECF">
    <w:pPr>
      <w:pStyle w:val="SingleSpacing"/>
    </w:pPr>
    <w:r>
      <w:t>Kennewick, WA 99336</w:t>
    </w:r>
  </w:p>
  <w:p w14:paraId="1AA674BC" w14:textId="77777777" w:rsidR="00287ECF" w:rsidRDefault="00287ECF">
    <w:pPr>
      <w:pStyle w:val="Footer"/>
    </w:pPr>
  </w:p>
  <w:p w14:paraId="7ED908B7" w14:textId="77777777" w:rsidR="00287ECF" w:rsidRDefault="00287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A3204" w14:textId="77777777" w:rsidR="00213F35" w:rsidRDefault="00213F35">
      <w:r>
        <w:separator/>
      </w:r>
    </w:p>
  </w:footnote>
  <w:footnote w:type="continuationSeparator" w:id="0">
    <w:p w14:paraId="2E016FF9" w14:textId="77777777" w:rsidR="00213F35" w:rsidRDefault="00213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FFC1" w14:textId="77777777" w:rsidR="00287ECF" w:rsidRDefault="002C6E9B">
    <w:pPr>
      <w:pStyle w:val="Header"/>
    </w:pPr>
    <w:r>
      <w:rPr>
        <w:noProof/>
      </w:rPr>
      <mc:AlternateContent>
        <mc:Choice Requires="wps">
          <w:drawing>
            <wp:anchor distT="0" distB="0" distL="114300" distR="114300" simplePos="0" relativeHeight="251659264" behindDoc="0" locked="0" layoutInCell="1" allowOverlap="1" wp14:anchorId="193BABDA" wp14:editId="213C93B4">
              <wp:simplePos x="0" y="0"/>
              <wp:positionH relativeFrom="margin">
                <wp:posOffset>-640080</wp:posOffset>
              </wp:positionH>
              <wp:positionV relativeFrom="margin">
                <wp:posOffset>0</wp:posOffset>
              </wp:positionV>
              <wp:extent cx="457200" cy="8229600"/>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F27E8" w14:textId="77777777" w:rsidR="00287ECF" w:rsidRDefault="00287ECF">
                          <w:pPr>
                            <w:jc w:val="right"/>
                          </w:pPr>
                          <w:r>
                            <w:t>1</w:t>
                          </w:r>
                        </w:p>
                        <w:p w14:paraId="5E9AD628" w14:textId="77777777" w:rsidR="00287ECF" w:rsidRDefault="00287ECF">
                          <w:pPr>
                            <w:jc w:val="right"/>
                          </w:pPr>
                          <w:r>
                            <w:t>2</w:t>
                          </w:r>
                        </w:p>
                        <w:p w14:paraId="7516A56E" w14:textId="77777777" w:rsidR="00287ECF" w:rsidRDefault="00287ECF">
                          <w:pPr>
                            <w:jc w:val="right"/>
                          </w:pPr>
                          <w:r>
                            <w:t>3</w:t>
                          </w:r>
                        </w:p>
                        <w:p w14:paraId="00D55231" w14:textId="77777777" w:rsidR="00287ECF" w:rsidRDefault="00287ECF">
                          <w:pPr>
                            <w:jc w:val="right"/>
                          </w:pPr>
                          <w:r>
                            <w:t>4</w:t>
                          </w:r>
                        </w:p>
                        <w:p w14:paraId="12BEE491" w14:textId="77777777" w:rsidR="00287ECF" w:rsidRDefault="00287ECF">
                          <w:pPr>
                            <w:jc w:val="right"/>
                          </w:pPr>
                          <w:r>
                            <w:t>5</w:t>
                          </w:r>
                        </w:p>
                        <w:p w14:paraId="40533C15" w14:textId="77777777" w:rsidR="00287ECF" w:rsidRDefault="00287ECF">
                          <w:pPr>
                            <w:jc w:val="right"/>
                          </w:pPr>
                          <w:r>
                            <w:t>6</w:t>
                          </w:r>
                        </w:p>
                        <w:p w14:paraId="5434D9D1" w14:textId="77777777" w:rsidR="00287ECF" w:rsidRDefault="00287ECF">
                          <w:pPr>
                            <w:jc w:val="right"/>
                          </w:pPr>
                          <w:r>
                            <w:t>7</w:t>
                          </w:r>
                        </w:p>
                        <w:p w14:paraId="0A95038A" w14:textId="77777777" w:rsidR="00287ECF" w:rsidRDefault="00287ECF">
                          <w:pPr>
                            <w:jc w:val="right"/>
                          </w:pPr>
                          <w:r>
                            <w:t>8</w:t>
                          </w:r>
                        </w:p>
                        <w:p w14:paraId="11B58C18" w14:textId="77777777" w:rsidR="00287ECF" w:rsidRDefault="00287ECF">
                          <w:pPr>
                            <w:jc w:val="right"/>
                          </w:pPr>
                          <w:r>
                            <w:t>9</w:t>
                          </w:r>
                        </w:p>
                        <w:p w14:paraId="7CCC28B7" w14:textId="77777777" w:rsidR="00287ECF" w:rsidRDefault="00287ECF">
                          <w:pPr>
                            <w:jc w:val="right"/>
                          </w:pPr>
                          <w:r>
                            <w:t>10</w:t>
                          </w:r>
                        </w:p>
                        <w:p w14:paraId="3F42F6EE" w14:textId="77777777" w:rsidR="00287ECF" w:rsidRDefault="00287ECF">
                          <w:pPr>
                            <w:jc w:val="right"/>
                          </w:pPr>
                          <w:r>
                            <w:t>11</w:t>
                          </w:r>
                        </w:p>
                        <w:p w14:paraId="0707EB72" w14:textId="77777777" w:rsidR="00287ECF" w:rsidRDefault="00287ECF">
                          <w:pPr>
                            <w:jc w:val="right"/>
                          </w:pPr>
                          <w:r>
                            <w:t>12</w:t>
                          </w:r>
                        </w:p>
                        <w:p w14:paraId="55E025DE" w14:textId="77777777" w:rsidR="00287ECF" w:rsidRDefault="00287ECF">
                          <w:pPr>
                            <w:jc w:val="right"/>
                          </w:pPr>
                          <w:r>
                            <w:t>13</w:t>
                          </w:r>
                        </w:p>
                        <w:p w14:paraId="13198AFF" w14:textId="77777777" w:rsidR="00287ECF" w:rsidRDefault="00287ECF">
                          <w:pPr>
                            <w:jc w:val="right"/>
                          </w:pPr>
                          <w:r>
                            <w:t>14</w:t>
                          </w:r>
                        </w:p>
                        <w:p w14:paraId="55F607D7" w14:textId="77777777" w:rsidR="00287ECF" w:rsidRDefault="00287ECF">
                          <w:pPr>
                            <w:jc w:val="right"/>
                          </w:pPr>
                          <w:r>
                            <w:t>15</w:t>
                          </w:r>
                        </w:p>
                        <w:p w14:paraId="5A97AD94" w14:textId="77777777" w:rsidR="00287ECF" w:rsidRDefault="00287ECF">
                          <w:pPr>
                            <w:jc w:val="right"/>
                          </w:pPr>
                          <w:r>
                            <w:t>16</w:t>
                          </w:r>
                        </w:p>
                        <w:p w14:paraId="07EAE4E1" w14:textId="77777777" w:rsidR="00287ECF" w:rsidRDefault="00287ECF">
                          <w:pPr>
                            <w:jc w:val="right"/>
                          </w:pPr>
                          <w:r>
                            <w:t>17</w:t>
                          </w:r>
                        </w:p>
                        <w:p w14:paraId="595B449C" w14:textId="77777777" w:rsidR="00287ECF" w:rsidRDefault="00287ECF">
                          <w:pPr>
                            <w:jc w:val="right"/>
                          </w:pPr>
                          <w:r>
                            <w:t>18</w:t>
                          </w:r>
                        </w:p>
                        <w:p w14:paraId="1D63E958" w14:textId="77777777" w:rsidR="00287ECF" w:rsidRDefault="00287ECF">
                          <w:pPr>
                            <w:jc w:val="right"/>
                          </w:pPr>
                          <w:r>
                            <w:t>19</w:t>
                          </w:r>
                        </w:p>
                        <w:p w14:paraId="1CFB9230" w14:textId="77777777" w:rsidR="00287ECF" w:rsidRDefault="00287ECF">
                          <w:pPr>
                            <w:jc w:val="right"/>
                          </w:pPr>
                          <w:r>
                            <w:t>20</w:t>
                          </w:r>
                        </w:p>
                        <w:p w14:paraId="7A23FE45" w14:textId="77777777" w:rsidR="00287ECF" w:rsidRDefault="00287ECF">
                          <w:pPr>
                            <w:jc w:val="right"/>
                          </w:pPr>
                          <w:r>
                            <w:t>21</w:t>
                          </w:r>
                        </w:p>
                        <w:p w14:paraId="51DE9E2B" w14:textId="77777777" w:rsidR="00287ECF" w:rsidRDefault="00287ECF">
                          <w:pPr>
                            <w:jc w:val="right"/>
                          </w:pPr>
                          <w:r>
                            <w:t>22</w:t>
                          </w:r>
                        </w:p>
                        <w:p w14:paraId="6466B042" w14:textId="77777777" w:rsidR="00287ECF" w:rsidRDefault="00287ECF">
                          <w:pPr>
                            <w:jc w:val="right"/>
                          </w:pPr>
                          <w:r>
                            <w:t>23</w:t>
                          </w:r>
                        </w:p>
                        <w:p w14:paraId="5284CF9C" w14:textId="77777777" w:rsidR="00287ECF" w:rsidRDefault="00287ECF">
                          <w:pPr>
                            <w:jc w:val="right"/>
                          </w:pPr>
                          <w:r>
                            <w:t>24</w:t>
                          </w:r>
                        </w:p>
                        <w:p w14:paraId="4C1D6245" w14:textId="77777777" w:rsidR="00287ECF" w:rsidRDefault="00287ECF">
                          <w:pPr>
                            <w:jc w:val="right"/>
                          </w:pPr>
                          <w:r>
                            <w:t>25</w:t>
                          </w:r>
                        </w:p>
                        <w:p w14:paraId="1E4FDFAA" w14:textId="77777777" w:rsidR="00287ECF" w:rsidRDefault="00287ECF">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93BABDA" id="_x0000_t202" coordsize="21600,21600" o:spt="202" path="m,l,21600r21600,l21600,xe">
              <v:stroke joinstyle="miter"/>
              <v:path gradientshapeok="t" o:connecttype="rect"/>
            </v:shapetype>
            <v:shape id="LineNumbers" o:spid="_x0000_s1026" type="#_x0000_t202" style="position:absolute;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stroked="f">
              <v:textbox inset="0,0,0,0">
                <w:txbxContent>
                  <w:p w14:paraId="54AF27E8" w14:textId="77777777" w:rsidR="00287ECF" w:rsidRDefault="00287ECF">
                    <w:pPr>
                      <w:jc w:val="right"/>
                    </w:pPr>
                    <w:r>
                      <w:t>1</w:t>
                    </w:r>
                  </w:p>
                  <w:p w14:paraId="5E9AD628" w14:textId="77777777" w:rsidR="00287ECF" w:rsidRDefault="00287ECF">
                    <w:pPr>
                      <w:jc w:val="right"/>
                    </w:pPr>
                    <w:r>
                      <w:t>2</w:t>
                    </w:r>
                  </w:p>
                  <w:p w14:paraId="7516A56E" w14:textId="77777777" w:rsidR="00287ECF" w:rsidRDefault="00287ECF">
                    <w:pPr>
                      <w:jc w:val="right"/>
                    </w:pPr>
                    <w:r>
                      <w:t>3</w:t>
                    </w:r>
                  </w:p>
                  <w:p w14:paraId="00D55231" w14:textId="77777777" w:rsidR="00287ECF" w:rsidRDefault="00287ECF">
                    <w:pPr>
                      <w:jc w:val="right"/>
                    </w:pPr>
                    <w:r>
                      <w:t>4</w:t>
                    </w:r>
                  </w:p>
                  <w:p w14:paraId="12BEE491" w14:textId="77777777" w:rsidR="00287ECF" w:rsidRDefault="00287ECF">
                    <w:pPr>
                      <w:jc w:val="right"/>
                    </w:pPr>
                    <w:r>
                      <w:t>5</w:t>
                    </w:r>
                  </w:p>
                  <w:p w14:paraId="40533C15" w14:textId="77777777" w:rsidR="00287ECF" w:rsidRDefault="00287ECF">
                    <w:pPr>
                      <w:jc w:val="right"/>
                    </w:pPr>
                    <w:r>
                      <w:t>6</w:t>
                    </w:r>
                  </w:p>
                  <w:p w14:paraId="5434D9D1" w14:textId="77777777" w:rsidR="00287ECF" w:rsidRDefault="00287ECF">
                    <w:pPr>
                      <w:jc w:val="right"/>
                    </w:pPr>
                    <w:r>
                      <w:t>7</w:t>
                    </w:r>
                  </w:p>
                  <w:p w14:paraId="0A95038A" w14:textId="77777777" w:rsidR="00287ECF" w:rsidRDefault="00287ECF">
                    <w:pPr>
                      <w:jc w:val="right"/>
                    </w:pPr>
                    <w:r>
                      <w:t>8</w:t>
                    </w:r>
                  </w:p>
                  <w:p w14:paraId="11B58C18" w14:textId="77777777" w:rsidR="00287ECF" w:rsidRDefault="00287ECF">
                    <w:pPr>
                      <w:jc w:val="right"/>
                    </w:pPr>
                    <w:r>
                      <w:t>9</w:t>
                    </w:r>
                  </w:p>
                  <w:p w14:paraId="7CCC28B7" w14:textId="77777777" w:rsidR="00287ECF" w:rsidRDefault="00287ECF">
                    <w:pPr>
                      <w:jc w:val="right"/>
                    </w:pPr>
                    <w:r>
                      <w:t>10</w:t>
                    </w:r>
                  </w:p>
                  <w:p w14:paraId="3F42F6EE" w14:textId="77777777" w:rsidR="00287ECF" w:rsidRDefault="00287ECF">
                    <w:pPr>
                      <w:jc w:val="right"/>
                    </w:pPr>
                    <w:r>
                      <w:t>11</w:t>
                    </w:r>
                  </w:p>
                  <w:p w14:paraId="0707EB72" w14:textId="77777777" w:rsidR="00287ECF" w:rsidRDefault="00287ECF">
                    <w:pPr>
                      <w:jc w:val="right"/>
                    </w:pPr>
                    <w:r>
                      <w:t>12</w:t>
                    </w:r>
                  </w:p>
                  <w:p w14:paraId="55E025DE" w14:textId="77777777" w:rsidR="00287ECF" w:rsidRDefault="00287ECF">
                    <w:pPr>
                      <w:jc w:val="right"/>
                    </w:pPr>
                    <w:r>
                      <w:t>13</w:t>
                    </w:r>
                  </w:p>
                  <w:p w14:paraId="13198AFF" w14:textId="77777777" w:rsidR="00287ECF" w:rsidRDefault="00287ECF">
                    <w:pPr>
                      <w:jc w:val="right"/>
                    </w:pPr>
                    <w:r>
                      <w:t>14</w:t>
                    </w:r>
                  </w:p>
                  <w:p w14:paraId="55F607D7" w14:textId="77777777" w:rsidR="00287ECF" w:rsidRDefault="00287ECF">
                    <w:pPr>
                      <w:jc w:val="right"/>
                    </w:pPr>
                    <w:r>
                      <w:t>15</w:t>
                    </w:r>
                  </w:p>
                  <w:p w14:paraId="5A97AD94" w14:textId="77777777" w:rsidR="00287ECF" w:rsidRDefault="00287ECF">
                    <w:pPr>
                      <w:jc w:val="right"/>
                    </w:pPr>
                    <w:r>
                      <w:t>16</w:t>
                    </w:r>
                  </w:p>
                  <w:p w14:paraId="07EAE4E1" w14:textId="77777777" w:rsidR="00287ECF" w:rsidRDefault="00287ECF">
                    <w:pPr>
                      <w:jc w:val="right"/>
                    </w:pPr>
                    <w:r>
                      <w:t>17</w:t>
                    </w:r>
                  </w:p>
                  <w:p w14:paraId="595B449C" w14:textId="77777777" w:rsidR="00287ECF" w:rsidRDefault="00287ECF">
                    <w:pPr>
                      <w:jc w:val="right"/>
                    </w:pPr>
                    <w:r>
                      <w:t>18</w:t>
                    </w:r>
                  </w:p>
                  <w:p w14:paraId="1D63E958" w14:textId="77777777" w:rsidR="00287ECF" w:rsidRDefault="00287ECF">
                    <w:pPr>
                      <w:jc w:val="right"/>
                    </w:pPr>
                    <w:r>
                      <w:t>19</w:t>
                    </w:r>
                  </w:p>
                  <w:p w14:paraId="1CFB9230" w14:textId="77777777" w:rsidR="00287ECF" w:rsidRDefault="00287ECF">
                    <w:pPr>
                      <w:jc w:val="right"/>
                    </w:pPr>
                    <w:r>
                      <w:t>20</w:t>
                    </w:r>
                  </w:p>
                  <w:p w14:paraId="7A23FE45" w14:textId="77777777" w:rsidR="00287ECF" w:rsidRDefault="00287ECF">
                    <w:pPr>
                      <w:jc w:val="right"/>
                    </w:pPr>
                    <w:r>
                      <w:t>21</w:t>
                    </w:r>
                  </w:p>
                  <w:p w14:paraId="51DE9E2B" w14:textId="77777777" w:rsidR="00287ECF" w:rsidRDefault="00287ECF">
                    <w:pPr>
                      <w:jc w:val="right"/>
                    </w:pPr>
                    <w:r>
                      <w:t>22</w:t>
                    </w:r>
                  </w:p>
                  <w:p w14:paraId="6466B042" w14:textId="77777777" w:rsidR="00287ECF" w:rsidRDefault="00287ECF">
                    <w:pPr>
                      <w:jc w:val="right"/>
                    </w:pPr>
                    <w:r>
                      <w:t>23</w:t>
                    </w:r>
                  </w:p>
                  <w:p w14:paraId="5284CF9C" w14:textId="77777777" w:rsidR="00287ECF" w:rsidRDefault="00287ECF">
                    <w:pPr>
                      <w:jc w:val="right"/>
                    </w:pPr>
                    <w:r>
                      <w:t>24</w:t>
                    </w:r>
                  </w:p>
                  <w:p w14:paraId="4C1D6245" w14:textId="77777777" w:rsidR="00287ECF" w:rsidRDefault="00287ECF">
                    <w:pPr>
                      <w:jc w:val="right"/>
                    </w:pPr>
                    <w:r>
                      <w:t>25</w:t>
                    </w:r>
                  </w:p>
                  <w:p w14:paraId="1E4FDFAA" w14:textId="77777777" w:rsidR="00287ECF" w:rsidRDefault="00287ECF">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2BFB1B23" wp14:editId="5B4CD0C6">
              <wp:simplePos x="0" y="0"/>
              <wp:positionH relativeFrom="margin">
                <wp:posOffset>5943600</wp:posOffset>
              </wp:positionH>
              <wp:positionV relativeFrom="page">
                <wp:posOffset>0</wp:posOffset>
              </wp:positionV>
              <wp:extent cx="0" cy="10058400"/>
              <wp:effectExtent l="9525" t="9525" r="9525"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65C1C"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2CF22B93" wp14:editId="617E729A">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342CC"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4AFF73BB" wp14:editId="4507BB74">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74240"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0000002"/>
    <w:multiLevelType w:val="multilevel"/>
    <w:tmpl w:val="894EE874"/>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15:restartNumberingAfterBreak="0">
    <w:nsid w:val="00000003"/>
    <w:multiLevelType w:val="multilevel"/>
    <w:tmpl w:val="894EE875"/>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3" w15:restartNumberingAfterBreak="0">
    <w:nsid w:val="00000004"/>
    <w:multiLevelType w:val="multilevel"/>
    <w:tmpl w:val="894EE876"/>
    <w:lvl w:ilvl="0">
      <w:start w:val="3"/>
      <w:numFmt w:val="bullet"/>
      <w:lvlText w:val=""/>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4" w15:restartNumberingAfterBreak="0">
    <w:nsid w:val="58C5567C"/>
    <w:multiLevelType w:val="hybridMultilevel"/>
    <w:tmpl w:val="3210E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S2MDYxMjOwNDezsLRQ0lEKTi0uzszPAykwrAUActjTdiwAAAA="/>
    <w:docVar w:name="AttorneyName" w:val="0"/>
    <w:docVar w:name="CaptionBoxStyle" w:val="3"/>
    <w:docVar w:name="CourtAlignment" w:val="0"/>
    <w:docVar w:name="CourtName" w:val="Superior Court of Washington_x000d__x000a_County of Franklin"/>
    <w:docVar w:name="FirmInFtr" w:val="0"/>
    <w:docVar w:name="FirmInSigBlkStyle" w:val="0"/>
    <w:docVar w:name="FirstLineNum" w:val="1"/>
    <w:docVar w:name="FirstPleadingLine" w:val="1"/>
    <w:docVar w:name="Font" w:val="Arial"/>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0"/>
  </w:docVars>
  <w:rsids>
    <w:rsidRoot w:val="00213F35"/>
    <w:rsid w:val="00016B2D"/>
    <w:rsid w:val="000722EE"/>
    <w:rsid w:val="001547B3"/>
    <w:rsid w:val="001A7049"/>
    <w:rsid w:val="00213F35"/>
    <w:rsid w:val="00256268"/>
    <w:rsid w:val="00261CCF"/>
    <w:rsid w:val="00287ECF"/>
    <w:rsid w:val="002C6E9B"/>
    <w:rsid w:val="002D1F0E"/>
    <w:rsid w:val="002F4AB6"/>
    <w:rsid w:val="00325127"/>
    <w:rsid w:val="00345FF8"/>
    <w:rsid w:val="00371965"/>
    <w:rsid w:val="003976ED"/>
    <w:rsid w:val="003D3AAF"/>
    <w:rsid w:val="00423A31"/>
    <w:rsid w:val="00440472"/>
    <w:rsid w:val="004642D8"/>
    <w:rsid w:val="00492FBB"/>
    <w:rsid w:val="004B7AF6"/>
    <w:rsid w:val="00575B7E"/>
    <w:rsid w:val="005F59A4"/>
    <w:rsid w:val="006015B1"/>
    <w:rsid w:val="00651E14"/>
    <w:rsid w:val="006A73B1"/>
    <w:rsid w:val="00724147"/>
    <w:rsid w:val="00736D9D"/>
    <w:rsid w:val="007450AE"/>
    <w:rsid w:val="007825B9"/>
    <w:rsid w:val="00797BA4"/>
    <w:rsid w:val="007E5051"/>
    <w:rsid w:val="0083344A"/>
    <w:rsid w:val="00835BD1"/>
    <w:rsid w:val="00896A28"/>
    <w:rsid w:val="008D3CE1"/>
    <w:rsid w:val="009245F2"/>
    <w:rsid w:val="00962DC0"/>
    <w:rsid w:val="00966D28"/>
    <w:rsid w:val="00995747"/>
    <w:rsid w:val="00AA2D56"/>
    <w:rsid w:val="00B025A7"/>
    <w:rsid w:val="00B407DD"/>
    <w:rsid w:val="00C8183C"/>
    <w:rsid w:val="00C90F01"/>
    <w:rsid w:val="00D14F39"/>
    <w:rsid w:val="00D15DDB"/>
    <w:rsid w:val="00D508A0"/>
    <w:rsid w:val="00D517D4"/>
    <w:rsid w:val="00D72C6C"/>
    <w:rsid w:val="00DE24D3"/>
    <w:rsid w:val="00E20208"/>
    <w:rsid w:val="00E23ACB"/>
    <w:rsid w:val="00E33AC6"/>
    <w:rsid w:val="00E831F5"/>
    <w:rsid w:val="00F208C3"/>
    <w:rsid w:val="00F61AA8"/>
    <w:rsid w:val="00F6553E"/>
    <w:rsid w:val="00F753BB"/>
    <w:rsid w:val="00F8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B170F"/>
  <w15:docId w15:val="{2C624851-CC2C-447C-9464-D0101391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508" w:lineRule="exact"/>
    </w:pPr>
    <w:rPr>
      <w:rFonts w:ascii="Arial" w:hAnsi="Arial"/>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customStyle="1" w:styleId="Body">
    <w:name w:val="Body"/>
    <w:rPr>
      <w:rFonts w:ascii="Helvetica" w:eastAsia="ヒラギノ角ゴ Pro W3" w:hAnsi="Helvetica"/>
      <w:color w:val="000000"/>
      <w:sz w:val="24"/>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OneDrive%20-%20Benton%20County\Orders\Appointment%20Order%20Stand-By%20Counsel%20Pro%20Se%20c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0B0DDCC73B6479D94BB368363CD3E" ma:contentTypeVersion="11" ma:contentTypeDescription="Create a new document." ma:contentTypeScope="" ma:versionID="e1f441ef7b1f3600d565746673083b88">
  <xsd:schema xmlns:xsd="http://www.w3.org/2001/XMLSchema" xmlns:xs="http://www.w3.org/2001/XMLSchema" xmlns:p="http://schemas.microsoft.com/office/2006/metadata/properties" xmlns:ns3="88c078ae-5f1c-4f2c-966d-1f9be52268bb" xmlns:ns4="e652f49a-7a2d-403d-810e-0dc534a3fa28" targetNamespace="http://schemas.microsoft.com/office/2006/metadata/properties" ma:root="true" ma:fieldsID="f51f8c020751debad020f05242c4c63f" ns3:_="" ns4:_="">
    <xsd:import namespace="88c078ae-5f1c-4f2c-966d-1f9be52268bb"/>
    <xsd:import namespace="e652f49a-7a2d-403d-810e-0dc534a3fa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078ae-5f1c-4f2c-966d-1f9be52268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2f49a-7a2d-403d-810e-0dc534a3fa2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31430-9000-46B6-84A7-925F08A29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078ae-5f1c-4f2c-966d-1f9be52268bb"/>
    <ds:schemaRef ds:uri="e652f49a-7a2d-403d-810e-0dc534a3f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A2ABF-8E7E-4048-B823-651299A9BA8B}">
  <ds:schemaRefs>
    <ds:schemaRef ds:uri="http://schemas.microsoft.com/sharepoint/v3/contenttype/forms"/>
  </ds:schemaRefs>
</ds:datastoreItem>
</file>

<file path=customXml/itemProps3.xml><?xml version="1.0" encoding="utf-8"?>
<ds:datastoreItem xmlns:ds="http://schemas.openxmlformats.org/officeDocument/2006/customXml" ds:itemID="{5D2E9C82-76A7-4DF7-9F21-7C461A666CA6}">
  <ds:schemaRefs>
    <ds:schemaRef ds:uri="http://purl.org/dc/elements/1.1/"/>
    <ds:schemaRef ds:uri="http://schemas.microsoft.com/office/2006/metadata/properties"/>
    <ds:schemaRef ds:uri="e652f49a-7a2d-403d-810e-0dc534a3fa28"/>
    <ds:schemaRef ds:uri="http://purl.org/dc/terms/"/>
    <ds:schemaRef ds:uri="http://schemas.openxmlformats.org/package/2006/metadata/core-properties"/>
    <ds:schemaRef ds:uri="http://schemas.microsoft.com/office/2006/documentManagement/types"/>
    <ds:schemaRef ds:uri="88c078ae-5f1c-4f2c-966d-1f9be52268bb"/>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Appointment Order Stand-By Counsel Pro Se case.dotx</Template>
  <TotalTime>1</TotalTime>
  <Pages>3</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Pleading Wizard</vt:lpstr>
    </vt:vector>
  </TitlesOfParts>
  <Company>Benton County</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Eric Hsu</dc:creator>
  <cp:lastModifiedBy>Eric Hsu</cp:lastModifiedBy>
  <cp:revision>1</cp:revision>
  <cp:lastPrinted>2015-03-23T19:17:00Z</cp:lastPrinted>
  <dcterms:created xsi:type="dcterms:W3CDTF">2020-05-21T19:39:00Z</dcterms:created>
  <dcterms:modified xsi:type="dcterms:W3CDTF">2020-05-21T19:40:00Z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ContentTypeId">
    <vt:lpwstr>0x010100B540B0DDCC73B6479D94BB368363CD3E</vt:lpwstr>
  </property>
</Properties>
</file>